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E8" w:rsidRDefault="00FC1EE8" w:rsidP="00FC1E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Некоторые из п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t>убликаци</w:t>
      </w:r>
      <w:r>
        <w:rPr>
          <w:rFonts w:ascii="Arial" w:eastAsia="Times New Roman" w:hAnsi="Arial" w:cs="Arial"/>
          <w:sz w:val="24"/>
          <w:szCs w:val="24"/>
          <w:lang w:eastAsia="ru-RU"/>
        </w:rPr>
        <w:t>й профессорско-преподавательского состава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t>, используемы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t xml:space="preserve"> в учебном процессе кафедр</w:t>
      </w:r>
      <w:r>
        <w:rPr>
          <w:rFonts w:ascii="Arial" w:eastAsia="Times New Roman" w:hAnsi="Arial" w:cs="Arial"/>
          <w:sz w:val="24"/>
          <w:szCs w:val="24"/>
          <w:lang w:eastAsia="ru-RU"/>
        </w:rPr>
        <w:t>ы:</w:t>
      </w:r>
      <w:bookmarkStart w:id="0" w:name="_GoBack"/>
      <w:bookmarkEnd w:id="0"/>
    </w:p>
    <w:p w:rsidR="00FC1EE8" w:rsidRPr="004F17BD" w:rsidRDefault="00FC1EE8" w:rsidP="00FC1E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17BD">
        <w:rPr>
          <w:rFonts w:ascii="Arial" w:eastAsia="Times New Roman" w:hAnsi="Arial" w:cs="Arial"/>
          <w:sz w:val="24"/>
          <w:szCs w:val="24"/>
          <w:lang w:eastAsia="ru-RU"/>
        </w:rPr>
        <w:t>– </w:t>
      </w:r>
      <w:proofErr w:type="spellStart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Бутров</w:t>
      </w:r>
      <w:proofErr w:type="spellEnd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А.В., Шевелев О.А., Кондратьев А.Н., Шестов А.В.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t xml:space="preserve"> Терапевтическая гипотермия в протоколе сердечно-легочной реанимации. Новости анестезиологии и реаниматологии. – 2011. – № 3. – С. 56–57; 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br/>
        <w:t>– </w:t>
      </w:r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Шевелев О.А., </w:t>
      </w:r>
      <w:proofErr w:type="spellStart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Бутров</w:t>
      </w:r>
      <w:proofErr w:type="spellEnd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А.В., Каленов И.Е., </w:t>
      </w:r>
      <w:proofErr w:type="spellStart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Шаринова</w:t>
      </w:r>
      <w:proofErr w:type="spellEnd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И.А., Кондратьев А.Н., Шестов А.В.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t xml:space="preserve"> Терапевтическая  гипотермия  в неотложных состояниях. Неотложная медицина. – 2011. – № 3. – С. 46–49; 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br/>
        <w:t>– </w:t>
      </w:r>
      <w:proofErr w:type="spellStart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Бутров</w:t>
      </w:r>
      <w:proofErr w:type="spellEnd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А.В., Борисов А.Ю., Шестопалов А.Е.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t xml:space="preserve"> и др. Методические рекомендации по применению продуктов «</w:t>
      </w:r>
      <w:proofErr w:type="spellStart"/>
      <w:r w:rsidRPr="004F17BD">
        <w:rPr>
          <w:rFonts w:ascii="Arial" w:eastAsia="Times New Roman" w:hAnsi="Arial" w:cs="Arial"/>
          <w:sz w:val="24"/>
          <w:szCs w:val="24"/>
          <w:lang w:eastAsia="ru-RU"/>
        </w:rPr>
        <w:t>Нутриэн</w:t>
      </w:r>
      <w:proofErr w:type="spellEnd"/>
      <w:r w:rsidRPr="004F17BD">
        <w:rPr>
          <w:rFonts w:ascii="Arial" w:eastAsia="Times New Roman" w:hAnsi="Arial" w:cs="Arial"/>
          <w:sz w:val="24"/>
          <w:szCs w:val="24"/>
          <w:lang w:eastAsia="ru-RU"/>
        </w:rPr>
        <w:t xml:space="preserve">» для </w:t>
      </w:r>
      <w:proofErr w:type="spellStart"/>
      <w:r w:rsidRPr="004F17BD">
        <w:rPr>
          <w:rFonts w:ascii="Arial" w:eastAsia="Times New Roman" w:hAnsi="Arial" w:cs="Arial"/>
          <w:sz w:val="24"/>
          <w:szCs w:val="24"/>
          <w:lang w:eastAsia="ru-RU"/>
        </w:rPr>
        <w:t>энтерального</w:t>
      </w:r>
      <w:proofErr w:type="spellEnd"/>
      <w:r w:rsidRPr="004F17BD">
        <w:rPr>
          <w:rFonts w:ascii="Arial" w:eastAsia="Times New Roman" w:hAnsi="Arial" w:cs="Arial"/>
          <w:sz w:val="24"/>
          <w:szCs w:val="24"/>
          <w:lang w:eastAsia="ru-RU"/>
        </w:rPr>
        <w:t xml:space="preserve"> лечебного питания // Методические рекомендации Российской Ассоциации Парентерального и </w:t>
      </w:r>
      <w:proofErr w:type="spellStart"/>
      <w:r w:rsidRPr="004F17BD">
        <w:rPr>
          <w:rFonts w:ascii="Arial" w:eastAsia="Times New Roman" w:hAnsi="Arial" w:cs="Arial"/>
          <w:sz w:val="24"/>
          <w:szCs w:val="24"/>
          <w:lang w:eastAsia="ru-RU"/>
        </w:rPr>
        <w:t>энтерального</w:t>
      </w:r>
      <w:proofErr w:type="spellEnd"/>
      <w:r w:rsidRPr="004F17BD">
        <w:rPr>
          <w:rFonts w:ascii="Arial" w:eastAsia="Times New Roman" w:hAnsi="Arial" w:cs="Arial"/>
          <w:sz w:val="24"/>
          <w:szCs w:val="24"/>
          <w:lang w:eastAsia="ru-RU"/>
        </w:rPr>
        <w:t xml:space="preserve"> питания. – М., 2006; 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br/>
        <w:t>– </w:t>
      </w:r>
      <w:proofErr w:type="spellStart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Бутров</w:t>
      </w:r>
      <w:proofErr w:type="spellEnd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А.В., Евдокимов Е.А., Шестопалов А.Е.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 питательной смеси «</w:t>
      </w:r>
      <w:proofErr w:type="spellStart"/>
      <w:r w:rsidRPr="004F17BD">
        <w:rPr>
          <w:rFonts w:ascii="Arial" w:eastAsia="Times New Roman" w:hAnsi="Arial" w:cs="Arial"/>
          <w:sz w:val="24"/>
          <w:szCs w:val="24"/>
          <w:lang w:eastAsia="ru-RU"/>
        </w:rPr>
        <w:t>Унипит</w:t>
      </w:r>
      <w:proofErr w:type="spellEnd"/>
      <w:r w:rsidRPr="004F17BD">
        <w:rPr>
          <w:rFonts w:ascii="Arial" w:eastAsia="Times New Roman" w:hAnsi="Arial" w:cs="Arial"/>
          <w:sz w:val="24"/>
          <w:szCs w:val="24"/>
          <w:lang w:eastAsia="ru-RU"/>
        </w:rPr>
        <w:t xml:space="preserve">» для </w:t>
      </w:r>
      <w:proofErr w:type="spellStart"/>
      <w:r w:rsidRPr="004F17BD">
        <w:rPr>
          <w:rFonts w:ascii="Arial" w:eastAsia="Times New Roman" w:hAnsi="Arial" w:cs="Arial"/>
          <w:sz w:val="24"/>
          <w:szCs w:val="24"/>
          <w:lang w:eastAsia="ru-RU"/>
        </w:rPr>
        <w:t>энтерального</w:t>
      </w:r>
      <w:proofErr w:type="spellEnd"/>
      <w:r w:rsidRPr="004F17BD">
        <w:rPr>
          <w:rFonts w:ascii="Arial" w:eastAsia="Times New Roman" w:hAnsi="Arial" w:cs="Arial"/>
          <w:sz w:val="24"/>
          <w:szCs w:val="24"/>
          <w:lang w:eastAsia="ru-RU"/>
        </w:rPr>
        <w:t xml:space="preserve"> лечебного питания. Методические рекомендации. – М., 2003; 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br/>
        <w:t>– </w:t>
      </w:r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Попова Т.С., </w:t>
      </w:r>
      <w:proofErr w:type="spellStart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Бутров</w:t>
      </w:r>
      <w:proofErr w:type="spellEnd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А.В., Шестопалов А.Е., </w:t>
      </w:r>
      <w:proofErr w:type="spellStart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Гроздова</w:t>
      </w:r>
      <w:proofErr w:type="spellEnd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Т.Ю.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t xml:space="preserve"> и др. Организация лечебного питания в лечебно-профилактических учреждениях. Методические рекомендации Министерства здравоохранения и социального развития РФ – М., 2005; 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br/>
        <w:t>– </w:t>
      </w:r>
      <w:proofErr w:type="spellStart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Бутров</w:t>
      </w:r>
      <w:proofErr w:type="spellEnd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А.В., Свиридов С.В., Мороз В.А, Малахов П.С.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t xml:space="preserve"> Имитационное обучение принципам неотложной помощи. Учебное пособие. – М.: РУДН, 2008; 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br/>
        <w:t>– </w:t>
      </w:r>
      <w:proofErr w:type="spellStart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Заболотских</w:t>
      </w:r>
      <w:proofErr w:type="spellEnd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И.Б., Магомедов М.А.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t xml:space="preserve">  и др. Опыт использования </w:t>
      </w:r>
      <w:proofErr w:type="spellStart"/>
      <w:r w:rsidRPr="004F17BD">
        <w:rPr>
          <w:rFonts w:ascii="Arial" w:eastAsia="Times New Roman" w:hAnsi="Arial" w:cs="Arial"/>
          <w:sz w:val="24"/>
          <w:szCs w:val="24"/>
          <w:lang w:eastAsia="ru-RU"/>
        </w:rPr>
        <w:t>видеолярингоскопа</w:t>
      </w:r>
      <w:proofErr w:type="spellEnd"/>
      <w:r w:rsidRPr="004F17BD">
        <w:rPr>
          <w:rFonts w:ascii="Arial" w:eastAsia="Times New Roman" w:hAnsi="Arial" w:cs="Arial"/>
          <w:sz w:val="24"/>
          <w:szCs w:val="24"/>
          <w:lang w:eastAsia="ru-RU"/>
        </w:rPr>
        <w:t xml:space="preserve"> MCGRATH® при прогнозируемом трудном дыхательном пути у взрослых и детей. Вестник городской больницы № 2 (электронное издание). – 2011. – 16 (4); 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br/>
        <w:t>– </w:t>
      </w:r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Братищев И.В., </w:t>
      </w:r>
      <w:proofErr w:type="spellStart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Выжевский</w:t>
      </w:r>
      <w:proofErr w:type="spellEnd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С.В., Родионов Е.П.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t xml:space="preserve"> Респираторная поддержка при внутрибольничной транспортировке пациентов с тяжелой травмой. Тезисы докладов Всероссийской конференции «Жизнеобеспечение при критических состояниях». – М., 2011. – С. 44–45; 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br/>
        <w:t>– </w:t>
      </w:r>
      <w:proofErr w:type="spellStart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Шифман</w:t>
      </w:r>
      <w:proofErr w:type="spellEnd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Е.М.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t xml:space="preserve"> Техника спинально-</w:t>
      </w:r>
      <w:proofErr w:type="spellStart"/>
      <w:r w:rsidRPr="004F17BD">
        <w:rPr>
          <w:rFonts w:ascii="Arial" w:eastAsia="Times New Roman" w:hAnsi="Arial" w:cs="Arial"/>
          <w:sz w:val="24"/>
          <w:szCs w:val="24"/>
          <w:lang w:eastAsia="ru-RU"/>
        </w:rPr>
        <w:t>эпидуральной</w:t>
      </w:r>
      <w:proofErr w:type="spellEnd"/>
      <w:r w:rsidRPr="004F17BD">
        <w:rPr>
          <w:rFonts w:ascii="Arial" w:eastAsia="Times New Roman" w:hAnsi="Arial" w:cs="Arial"/>
          <w:sz w:val="24"/>
          <w:szCs w:val="24"/>
          <w:lang w:eastAsia="ru-RU"/>
        </w:rPr>
        <w:t xml:space="preserve"> анестезии. – М., 2005; 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br/>
        <w:t>– </w:t>
      </w:r>
      <w:proofErr w:type="spellStart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Шифман</w:t>
      </w:r>
      <w:proofErr w:type="spellEnd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Е.М.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F17BD">
        <w:rPr>
          <w:rFonts w:ascii="Arial" w:eastAsia="Times New Roman" w:hAnsi="Arial" w:cs="Arial"/>
          <w:sz w:val="24"/>
          <w:szCs w:val="24"/>
          <w:lang w:eastAsia="ru-RU"/>
        </w:rPr>
        <w:t>Преэклапсия</w:t>
      </w:r>
      <w:proofErr w:type="spellEnd"/>
      <w:r w:rsidRPr="004F17BD">
        <w:rPr>
          <w:rFonts w:ascii="Arial" w:eastAsia="Times New Roman" w:hAnsi="Arial" w:cs="Arial"/>
          <w:sz w:val="24"/>
          <w:szCs w:val="24"/>
          <w:lang w:eastAsia="ru-RU"/>
        </w:rPr>
        <w:t xml:space="preserve">, эклампсия, НЕLP синдром. – М., 2003; 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br/>
        <w:t>– </w:t>
      </w:r>
      <w:proofErr w:type="spellStart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Скороглядов</w:t>
      </w:r>
      <w:proofErr w:type="spellEnd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А.В., </w:t>
      </w:r>
      <w:proofErr w:type="spellStart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Бутров</w:t>
      </w:r>
      <w:proofErr w:type="spellEnd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А.В., </w:t>
      </w:r>
      <w:proofErr w:type="spellStart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Магдиев</w:t>
      </w:r>
      <w:proofErr w:type="spellEnd"/>
      <w:r w:rsidRPr="004F17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Д.А., Кондрашенко Е.Н., Страхов М.А.</w:t>
      </w:r>
      <w:r w:rsidRPr="004F17BD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Возможности обезболивания и иммобилизации при повреждениях и заболеваниях опорно-двигательного аппарата. – М., 2012. </w:t>
      </w:r>
    </w:p>
    <w:p w:rsidR="001D4407" w:rsidRDefault="001D4407"/>
    <w:sectPr w:rsidR="001D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E8"/>
    <w:rsid w:val="001D4407"/>
    <w:rsid w:val="006B487D"/>
    <w:rsid w:val="00F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B9770"/>
  <w15:chartTrackingRefBased/>
  <w15:docId w15:val="{AA542859-8AEF-47AA-B708-3FDEB658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E8"/>
    <w:pPr>
      <w:spacing w:before="0"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487D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before="100" w:after="0" w:line="276" w:lineRule="auto"/>
      <w:outlineLvl w:val="0"/>
    </w:pPr>
    <w:rPr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87D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87D"/>
    <w:pPr>
      <w:pBdr>
        <w:top w:val="single" w:sz="6" w:space="2" w:color="F09415" w:themeColor="accent1"/>
      </w:pBdr>
      <w:spacing w:before="300" w:after="0" w:line="276" w:lineRule="auto"/>
      <w:outlineLvl w:val="2"/>
    </w:pPr>
    <w:rPr>
      <w:caps/>
      <w:color w:val="794908" w:themeColor="accent1" w:themeShade="7F"/>
      <w:spacing w:val="15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87D"/>
    <w:pPr>
      <w:pBdr>
        <w:top w:val="dotted" w:sz="6" w:space="2" w:color="F09415" w:themeColor="accent1"/>
      </w:pBdr>
      <w:spacing w:before="200" w:after="0" w:line="276" w:lineRule="auto"/>
      <w:outlineLvl w:val="3"/>
    </w:pPr>
    <w:rPr>
      <w:caps/>
      <w:color w:val="B76E0B" w:themeColor="accent1" w:themeShade="BF"/>
      <w:spacing w:val="1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87D"/>
    <w:pPr>
      <w:pBdr>
        <w:bottom w:val="single" w:sz="6" w:space="1" w:color="F09415" w:themeColor="accent1"/>
      </w:pBdr>
      <w:spacing w:before="200" w:after="0" w:line="276" w:lineRule="auto"/>
      <w:outlineLvl w:val="4"/>
    </w:pPr>
    <w:rPr>
      <w:caps/>
      <w:color w:val="B76E0B" w:themeColor="accent1" w:themeShade="BF"/>
      <w:spacing w:val="1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87D"/>
    <w:pPr>
      <w:pBdr>
        <w:bottom w:val="dotted" w:sz="6" w:space="1" w:color="F09415" w:themeColor="accent1"/>
      </w:pBdr>
      <w:spacing w:before="200" w:after="0" w:line="276" w:lineRule="auto"/>
      <w:outlineLvl w:val="5"/>
    </w:pPr>
    <w:rPr>
      <w:caps/>
      <w:color w:val="B76E0B" w:themeColor="accent1" w:themeShade="BF"/>
      <w:spacing w:val="1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87D"/>
    <w:pPr>
      <w:spacing w:before="200" w:after="0" w:line="276" w:lineRule="auto"/>
      <w:outlineLvl w:val="6"/>
    </w:pPr>
    <w:rPr>
      <w:caps/>
      <w:color w:val="B76E0B" w:themeColor="accent1" w:themeShade="BF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87D"/>
    <w:pPr>
      <w:spacing w:before="200" w:after="0" w:line="276" w:lineRule="auto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87D"/>
    <w:pPr>
      <w:spacing w:before="200" w:after="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87D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B487D"/>
    <w:rPr>
      <w:caps/>
      <w:spacing w:val="15"/>
      <w:shd w:val="clear" w:color="auto" w:fill="FCE9D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B487D"/>
    <w:rPr>
      <w:caps/>
      <w:color w:val="79490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B487D"/>
    <w:rPr>
      <w:caps/>
      <w:color w:val="B76E0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B487D"/>
    <w:rPr>
      <w:caps/>
      <w:color w:val="B76E0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B487D"/>
    <w:rPr>
      <w:caps/>
      <w:color w:val="B76E0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B487D"/>
    <w:rPr>
      <w:caps/>
      <w:color w:val="B76E0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B487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B487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B487D"/>
    <w:pPr>
      <w:spacing w:before="100" w:after="200" w:line="276" w:lineRule="auto"/>
    </w:pPr>
    <w:rPr>
      <w:b/>
      <w:bCs/>
      <w:color w:val="B76E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B487D"/>
    <w:pPr>
      <w:spacing w:after="0" w:line="276" w:lineRule="auto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B487D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487D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6B487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B487D"/>
    <w:rPr>
      <w:b/>
      <w:bCs/>
    </w:rPr>
  </w:style>
  <w:style w:type="character" w:styleId="a9">
    <w:name w:val="Emphasis"/>
    <w:uiPriority w:val="20"/>
    <w:qFormat/>
    <w:rsid w:val="006B487D"/>
    <w:rPr>
      <w:caps/>
      <w:color w:val="794908" w:themeColor="accent1" w:themeShade="7F"/>
      <w:spacing w:val="5"/>
    </w:rPr>
  </w:style>
  <w:style w:type="paragraph" w:styleId="aa">
    <w:name w:val="No Spacing"/>
    <w:uiPriority w:val="1"/>
    <w:qFormat/>
    <w:rsid w:val="006B487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B487D"/>
    <w:pPr>
      <w:spacing w:before="100" w:after="200" w:line="276" w:lineRule="auto"/>
    </w:pPr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B487D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87D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6B487D"/>
    <w:rPr>
      <w:color w:val="F09415" w:themeColor="accent1"/>
      <w:sz w:val="24"/>
      <w:szCs w:val="24"/>
    </w:rPr>
  </w:style>
  <w:style w:type="character" w:styleId="ad">
    <w:name w:val="Subtle Emphasis"/>
    <w:uiPriority w:val="19"/>
    <w:qFormat/>
    <w:rsid w:val="006B487D"/>
    <w:rPr>
      <w:i/>
      <w:iCs/>
      <w:color w:val="794908" w:themeColor="accent1" w:themeShade="7F"/>
    </w:rPr>
  </w:style>
  <w:style w:type="character" w:styleId="ae">
    <w:name w:val="Intense Emphasis"/>
    <w:uiPriority w:val="21"/>
    <w:qFormat/>
    <w:rsid w:val="006B487D"/>
    <w:rPr>
      <w:b/>
      <w:bCs/>
      <w:caps/>
      <w:color w:val="794908" w:themeColor="accent1" w:themeShade="7F"/>
      <w:spacing w:val="10"/>
    </w:rPr>
  </w:style>
  <w:style w:type="character" w:styleId="af">
    <w:name w:val="Subtle Reference"/>
    <w:uiPriority w:val="31"/>
    <w:qFormat/>
    <w:rsid w:val="006B487D"/>
    <w:rPr>
      <w:b/>
      <w:bCs/>
      <w:color w:val="F09415" w:themeColor="accent1"/>
    </w:rPr>
  </w:style>
  <w:style w:type="character" w:styleId="af0">
    <w:name w:val="Intense Reference"/>
    <w:uiPriority w:val="32"/>
    <w:qFormat/>
    <w:rsid w:val="006B487D"/>
    <w:rPr>
      <w:b/>
      <w:bCs/>
      <w:i/>
      <w:iCs/>
      <w:caps/>
      <w:color w:val="F09415" w:themeColor="accent1"/>
    </w:rPr>
  </w:style>
  <w:style w:type="character" w:styleId="af1">
    <w:name w:val="Book Title"/>
    <w:uiPriority w:val="33"/>
    <w:qFormat/>
    <w:rsid w:val="006B487D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6B48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Берлин">
  <a:themeElements>
    <a:clrScheme name="Берлин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Берлин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ерлин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1843</Characters>
  <Application>Microsoft Office Word</Application>
  <DocSecurity>0</DocSecurity>
  <Lines>34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elenagrig</dc:creator>
  <cp:keywords/>
  <dc:description/>
  <cp:lastModifiedBy>elenagrig</cp:lastModifiedBy>
  <cp:revision>1</cp:revision>
  <dcterms:created xsi:type="dcterms:W3CDTF">2019-05-13T08:27:00Z</dcterms:created>
  <dcterms:modified xsi:type="dcterms:W3CDTF">2019-05-13T08:29:00Z</dcterms:modified>
</cp:coreProperties>
</file>